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9527A" w14:textId="77777777" w:rsidR="004814D0" w:rsidRDefault="004814D0" w:rsidP="004814D0">
      <w:pPr>
        <w:spacing w:after="0"/>
      </w:pPr>
    </w:p>
    <w:p w14:paraId="74228C99" w14:textId="3A1BEE96" w:rsidR="00FC7CEE" w:rsidRDefault="00FC7CEE" w:rsidP="00A474BB">
      <w:pPr>
        <w:pStyle w:val="ListParagraph"/>
        <w:numPr>
          <w:ilvl w:val="0"/>
          <w:numId w:val="3"/>
        </w:numPr>
        <w:spacing w:after="0"/>
      </w:pPr>
      <w:r>
        <w:t xml:space="preserve">StarkMHAR will only pay for services for residents of Stark County per </w:t>
      </w:r>
      <w:r w:rsidR="00740E95" w:rsidRPr="00740E95">
        <w:t xml:space="preserve">5122.01 </w:t>
      </w:r>
      <w:r w:rsidR="00740E95">
        <w:t xml:space="preserve">of the </w:t>
      </w:r>
      <w:r w:rsidR="00740E95" w:rsidRPr="00740E95">
        <w:t>ORC.</w:t>
      </w:r>
    </w:p>
    <w:p w14:paraId="21A0B086" w14:textId="08F748A7" w:rsidR="00793199" w:rsidRDefault="00870F1F" w:rsidP="004A1885">
      <w:pPr>
        <w:pStyle w:val="ListParagraph"/>
        <w:numPr>
          <w:ilvl w:val="0"/>
          <w:numId w:val="3"/>
        </w:numPr>
        <w:spacing w:after="0"/>
      </w:pPr>
      <w:r>
        <w:t>StarkMHAR requests that Medicaid, Medicare, or private insurance be billed first by</w:t>
      </w:r>
      <w:r w:rsidR="00B23865">
        <w:t xml:space="preserve"> contract providers with </w:t>
      </w:r>
      <w:r w:rsidR="00597514">
        <w:t>individuals</w:t>
      </w:r>
      <w:r w:rsidR="00B23865">
        <w:t xml:space="preserve"> </w:t>
      </w:r>
      <w:r>
        <w:t>who have one or more of those types of coverage.</w:t>
      </w:r>
    </w:p>
    <w:p w14:paraId="24DF8479" w14:textId="1800F913" w:rsidR="004814D0" w:rsidRDefault="00B23865" w:rsidP="004814D0">
      <w:pPr>
        <w:pStyle w:val="ListParagraph"/>
        <w:numPr>
          <w:ilvl w:val="0"/>
          <w:numId w:val="3"/>
        </w:numPr>
        <w:spacing w:after="0"/>
      </w:pPr>
      <w:r>
        <w:t>There may be situations when third party payers will not pay for services for a Stark County client. Various scenarios are described below, as well as StarkMHAR’s guidance around being billed for each scenario.</w:t>
      </w:r>
    </w:p>
    <w:p w14:paraId="23160042" w14:textId="38618DF9" w:rsidR="00A474BB" w:rsidRPr="00A474BB" w:rsidRDefault="00A474BB" w:rsidP="004814D0">
      <w:pPr>
        <w:spacing w:after="0"/>
        <w:rPr>
          <w:sz w:val="28"/>
        </w:rPr>
      </w:pP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990"/>
        <w:gridCol w:w="4050"/>
        <w:gridCol w:w="5670"/>
      </w:tblGrid>
      <w:tr w:rsidR="00DB14F1" w:rsidRPr="009C5004" w14:paraId="38699610" w14:textId="77777777" w:rsidTr="00BF2EA9">
        <w:trPr>
          <w:trHeight w:val="476"/>
        </w:trPr>
        <w:tc>
          <w:tcPr>
            <w:tcW w:w="990" w:type="dxa"/>
            <w:shd w:val="clear" w:color="auto" w:fill="BDD6EE" w:themeFill="accent5" w:themeFillTint="66"/>
            <w:vAlign w:val="center"/>
          </w:tcPr>
          <w:p w14:paraId="4ED1752A" w14:textId="228394F8" w:rsidR="00DB14F1" w:rsidRPr="004814D0" w:rsidRDefault="000C4DA0" w:rsidP="00BF2E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</w:p>
        </w:tc>
        <w:tc>
          <w:tcPr>
            <w:tcW w:w="4050" w:type="dxa"/>
            <w:shd w:val="clear" w:color="auto" w:fill="BDD6EE" w:themeFill="accent5" w:themeFillTint="66"/>
            <w:vAlign w:val="center"/>
          </w:tcPr>
          <w:p w14:paraId="3A74C218" w14:textId="2ADF2D16" w:rsidR="00DB14F1" w:rsidRPr="004814D0" w:rsidRDefault="00DB14F1" w:rsidP="00BF2EA9">
            <w:pPr>
              <w:jc w:val="center"/>
              <w:rPr>
                <w:b/>
                <w:sz w:val="24"/>
              </w:rPr>
            </w:pPr>
            <w:r w:rsidRPr="004814D0">
              <w:rPr>
                <w:b/>
                <w:sz w:val="24"/>
              </w:rPr>
              <w:t>Reason Third Party Payer will not Pay</w:t>
            </w:r>
          </w:p>
        </w:tc>
        <w:tc>
          <w:tcPr>
            <w:tcW w:w="5670" w:type="dxa"/>
            <w:shd w:val="clear" w:color="auto" w:fill="BDD6EE" w:themeFill="accent5" w:themeFillTint="66"/>
            <w:vAlign w:val="center"/>
          </w:tcPr>
          <w:p w14:paraId="2C46EFC8" w14:textId="17818049" w:rsidR="00DB14F1" w:rsidRPr="004814D0" w:rsidRDefault="00DB14F1" w:rsidP="00BF2EA9">
            <w:pPr>
              <w:jc w:val="center"/>
              <w:rPr>
                <w:b/>
                <w:sz w:val="24"/>
              </w:rPr>
            </w:pPr>
            <w:r w:rsidRPr="004814D0">
              <w:rPr>
                <w:b/>
                <w:sz w:val="24"/>
              </w:rPr>
              <w:t>StarkMHAR’s Role in Scenario</w:t>
            </w:r>
          </w:p>
        </w:tc>
      </w:tr>
      <w:tr w:rsidR="00DB14F1" w14:paraId="2DCD2550" w14:textId="77777777" w:rsidTr="00BF2EA9">
        <w:trPr>
          <w:trHeight w:val="1961"/>
        </w:trPr>
        <w:tc>
          <w:tcPr>
            <w:tcW w:w="990" w:type="dxa"/>
            <w:shd w:val="clear" w:color="auto" w:fill="BDD6EE" w:themeFill="accent5" w:themeFillTint="66"/>
            <w:vAlign w:val="center"/>
          </w:tcPr>
          <w:p w14:paraId="6775B39A" w14:textId="12BA5ABE" w:rsidR="00574CFD" w:rsidRPr="00BF2EA9" w:rsidRDefault="00574CFD" w:rsidP="00BF2EA9">
            <w:pPr>
              <w:jc w:val="center"/>
              <w:rPr>
                <w:b/>
                <w:bCs/>
              </w:rPr>
            </w:pPr>
            <w:r w:rsidRPr="00BF2EA9">
              <w:rPr>
                <w:b/>
                <w:bCs/>
              </w:rPr>
              <w:t>1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22973458" w14:textId="534984FC" w:rsidR="00DB14F1" w:rsidRPr="00D87B3E" w:rsidRDefault="00DB14F1" w:rsidP="00D87B3E">
            <w:r>
              <w:t>Services not covered by third party</w:t>
            </w:r>
            <w:r w:rsidR="00367733">
              <w:t xml:space="preserve"> that StarkMHAR will also not cover</w:t>
            </w:r>
            <w:r>
              <w:t xml:space="preserve">: </w:t>
            </w:r>
          </w:p>
          <w:p w14:paraId="26074C94" w14:textId="77777777" w:rsidR="004A5B18" w:rsidRPr="003E1B63" w:rsidRDefault="004A5B18" w:rsidP="004A5B1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E1B63">
              <w:rPr>
                <w:sz w:val="20"/>
                <w:szCs w:val="20"/>
              </w:rPr>
              <w:t>Group Counseling</w:t>
            </w:r>
          </w:p>
          <w:p w14:paraId="01119992" w14:textId="77777777" w:rsidR="004A5B18" w:rsidRPr="003E1B63" w:rsidRDefault="004A5B18" w:rsidP="004A5B1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E1B63">
              <w:rPr>
                <w:sz w:val="20"/>
                <w:szCs w:val="20"/>
              </w:rPr>
              <w:t>CPST group</w:t>
            </w:r>
          </w:p>
          <w:p w14:paraId="1B3D1450" w14:textId="77777777" w:rsidR="004A5B18" w:rsidRPr="003E1B63" w:rsidRDefault="004A5B18" w:rsidP="004A5B1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E1B63">
              <w:rPr>
                <w:sz w:val="20"/>
                <w:szCs w:val="20"/>
              </w:rPr>
              <w:t>Peer group</w:t>
            </w:r>
          </w:p>
          <w:p w14:paraId="1141033B" w14:textId="77777777" w:rsidR="004A5B18" w:rsidRPr="009B3295" w:rsidRDefault="004A5B18" w:rsidP="004A5B18">
            <w:pPr>
              <w:pStyle w:val="ListParagraph"/>
              <w:numPr>
                <w:ilvl w:val="0"/>
                <w:numId w:val="1"/>
              </w:numPr>
            </w:pPr>
            <w:r w:rsidRPr="003E1B63">
              <w:rPr>
                <w:sz w:val="20"/>
                <w:szCs w:val="20"/>
              </w:rPr>
              <w:t>Marriage and Family counseling</w:t>
            </w:r>
          </w:p>
          <w:p w14:paraId="45AEA573" w14:textId="062595F6" w:rsidR="001C6F4A" w:rsidRDefault="004A5B18" w:rsidP="004A5B18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Psychological testing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036BD01" w14:textId="77777777" w:rsidR="00DB14F1" w:rsidRDefault="00DB14F1" w:rsidP="00BF2EA9"/>
          <w:p w14:paraId="37AD6648" w14:textId="77777777" w:rsidR="00DB14F1" w:rsidRDefault="00DB14F1" w:rsidP="00BF2EA9"/>
          <w:p w14:paraId="562CC927" w14:textId="77777777" w:rsidR="00DB14F1" w:rsidRDefault="00DB14F1" w:rsidP="00BF2EA9">
            <w:r>
              <w:t>StarkMHAR may not be billed for these services.</w:t>
            </w:r>
          </w:p>
          <w:p w14:paraId="6731A0A3" w14:textId="7B34BF91" w:rsidR="00202FEC" w:rsidRDefault="00202FEC" w:rsidP="00BF2EA9"/>
          <w:p w14:paraId="31A61C02" w14:textId="4C8D35CB" w:rsidR="00202FEC" w:rsidRDefault="00202FEC" w:rsidP="00BF2EA9"/>
          <w:p w14:paraId="60558802" w14:textId="77777777" w:rsidR="00202FEC" w:rsidRDefault="00202FEC" w:rsidP="00BF2EA9"/>
          <w:p w14:paraId="580E0B1C" w14:textId="07D76EAF" w:rsidR="00202FEC" w:rsidRPr="00202FEC" w:rsidRDefault="00202FEC" w:rsidP="00BF2EA9">
            <w:pPr>
              <w:rPr>
                <w:i/>
                <w:iCs/>
                <w:sz w:val="20"/>
                <w:szCs w:val="20"/>
              </w:rPr>
            </w:pPr>
            <w:r w:rsidRPr="00202FEC">
              <w:rPr>
                <w:i/>
                <w:iCs/>
                <w:sz w:val="20"/>
                <w:szCs w:val="20"/>
              </w:rPr>
              <w:t>* Exceptions may be made based on the funded program.</w:t>
            </w:r>
          </w:p>
        </w:tc>
      </w:tr>
      <w:tr w:rsidR="00DB14F1" w14:paraId="28E3C1D5" w14:textId="77777777" w:rsidTr="00BF2EA9">
        <w:trPr>
          <w:trHeight w:val="1898"/>
        </w:trPr>
        <w:tc>
          <w:tcPr>
            <w:tcW w:w="990" w:type="dxa"/>
            <w:shd w:val="clear" w:color="auto" w:fill="BDD6EE" w:themeFill="accent5" w:themeFillTint="66"/>
            <w:vAlign w:val="center"/>
          </w:tcPr>
          <w:p w14:paraId="3089A71F" w14:textId="7672A6BB" w:rsidR="00574CFD" w:rsidRPr="00BF2EA9" w:rsidRDefault="00574CFD" w:rsidP="00BF2EA9">
            <w:pPr>
              <w:jc w:val="center"/>
              <w:rPr>
                <w:b/>
                <w:bCs/>
              </w:rPr>
            </w:pPr>
            <w:r w:rsidRPr="00BF2EA9">
              <w:rPr>
                <w:b/>
                <w:bCs/>
              </w:rPr>
              <w:t>2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1AB4D603" w14:textId="4DCCACC8" w:rsidR="00DB14F1" w:rsidRDefault="00367733" w:rsidP="00807091">
            <w:r>
              <w:t>S</w:t>
            </w:r>
            <w:r w:rsidR="00DB14F1">
              <w:t>ervices not covered by third party</w:t>
            </w:r>
            <w:r>
              <w:t xml:space="preserve"> where StarkMHAR will pay a set limit</w:t>
            </w:r>
            <w:r w:rsidR="00DB14F1">
              <w:t xml:space="preserve">: </w:t>
            </w:r>
          </w:p>
          <w:p w14:paraId="370D413F" w14:textId="3033DFD1" w:rsidR="00DB14F1" w:rsidRPr="00E20896" w:rsidRDefault="00DB14F1" w:rsidP="00807091">
            <w:pPr>
              <w:pStyle w:val="ListParagraph"/>
              <w:numPr>
                <w:ilvl w:val="0"/>
                <w:numId w:val="1"/>
              </w:numPr>
            </w:pPr>
            <w:r w:rsidRPr="00E20896">
              <w:rPr>
                <w:sz w:val="20"/>
              </w:rPr>
              <w:t>Nursing</w:t>
            </w:r>
          </w:p>
          <w:p w14:paraId="128CEAF3" w14:textId="688EA4DB" w:rsidR="00DB14F1" w:rsidRPr="00E20896" w:rsidRDefault="00DB14F1" w:rsidP="00807091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E20896">
              <w:rPr>
                <w:sz w:val="20"/>
              </w:rPr>
              <w:t xml:space="preserve">Case management/TBS/PSR </w:t>
            </w:r>
          </w:p>
          <w:p w14:paraId="431E36AE" w14:textId="63B8D928" w:rsidR="00DB14F1" w:rsidRDefault="00DB14F1" w:rsidP="00807091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E20896">
              <w:rPr>
                <w:sz w:val="20"/>
              </w:rPr>
              <w:t xml:space="preserve">Peer support service </w:t>
            </w:r>
          </w:p>
          <w:p w14:paraId="254DFA3C" w14:textId="77777777" w:rsidR="00DB14F1" w:rsidRDefault="00DB14F1" w:rsidP="004814D0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07091">
              <w:rPr>
                <w:sz w:val="20"/>
              </w:rPr>
              <w:t>Vocational services</w:t>
            </w:r>
          </w:p>
          <w:p w14:paraId="321D365F" w14:textId="242FA792" w:rsidR="00DB14F1" w:rsidRPr="00807091" w:rsidRDefault="00DB14F1" w:rsidP="004814D0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CSU room &amp; board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44668F" w14:textId="49EE4C5E" w:rsidR="00DB14F1" w:rsidRDefault="00574CFD" w:rsidP="00BF2EA9">
            <w:r>
              <w:t>StarkMHAR</w:t>
            </w:r>
            <w:r w:rsidR="00DB14F1">
              <w:t xml:space="preserve"> </w:t>
            </w:r>
            <w:r w:rsidR="00367733">
              <w:t>will</w:t>
            </w:r>
            <w:r w:rsidR="00DB14F1">
              <w:t xml:space="preserve"> fund the following services as described: </w:t>
            </w:r>
          </w:p>
          <w:p w14:paraId="7F853461" w14:textId="07B3C060" w:rsidR="00DB14F1" w:rsidRPr="00E20896" w:rsidRDefault="00DB14F1" w:rsidP="00BF2EA9">
            <w:pPr>
              <w:pStyle w:val="ListParagraph"/>
              <w:numPr>
                <w:ilvl w:val="0"/>
                <w:numId w:val="1"/>
              </w:numPr>
            </w:pPr>
            <w:r w:rsidRPr="00E20896">
              <w:rPr>
                <w:sz w:val="20"/>
              </w:rPr>
              <w:t>Nursing</w:t>
            </w:r>
          </w:p>
          <w:p w14:paraId="2140CB0F" w14:textId="0CD3BEEB" w:rsidR="00DB14F1" w:rsidRPr="00E20896" w:rsidRDefault="00DB14F1" w:rsidP="00BF2EA9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E20896">
              <w:rPr>
                <w:sz w:val="20"/>
              </w:rPr>
              <w:t xml:space="preserve">Case management/TBS/PSR </w:t>
            </w:r>
          </w:p>
          <w:p w14:paraId="297381AB" w14:textId="48840C2C" w:rsidR="00DB14F1" w:rsidRPr="00E20896" w:rsidRDefault="00DB14F1" w:rsidP="00BF2EA9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E20896">
              <w:rPr>
                <w:sz w:val="20"/>
              </w:rPr>
              <w:t>Peer support service</w:t>
            </w:r>
          </w:p>
          <w:p w14:paraId="49B6989E" w14:textId="4EE8EA99" w:rsidR="00DB14F1" w:rsidRPr="009B3295" w:rsidRDefault="00DB14F1" w:rsidP="00BF2EA9">
            <w:pPr>
              <w:pStyle w:val="ListParagraph"/>
              <w:numPr>
                <w:ilvl w:val="0"/>
                <w:numId w:val="1"/>
              </w:numPr>
            </w:pPr>
            <w:r w:rsidRPr="00E20896">
              <w:rPr>
                <w:sz w:val="20"/>
              </w:rPr>
              <w:t>Vocational services</w:t>
            </w:r>
          </w:p>
          <w:p w14:paraId="25BB98DB" w14:textId="7349A51F" w:rsidR="00793578" w:rsidRPr="005A05B3" w:rsidRDefault="00DB14F1" w:rsidP="00BF2EA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A05B3">
              <w:rPr>
                <w:sz w:val="20"/>
                <w:szCs w:val="20"/>
              </w:rPr>
              <w:t xml:space="preserve">CSU room &amp; board </w:t>
            </w:r>
          </w:p>
        </w:tc>
      </w:tr>
      <w:tr w:rsidR="00DB14F1" w14:paraId="1BCE01C1" w14:textId="77777777" w:rsidTr="00BF2EA9">
        <w:trPr>
          <w:trHeight w:val="872"/>
        </w:trPr>
        <w:tc>
          <w:tcPr>
            <w:tcW w:w="990" w:type="dxa"/>
            <w:shd w:val="clear" w:color="auto" w:fill="BDD6EE" w:themeFill="accent5" w:themeFillTint="66"/>
            <w:vAlign w:val="center"/>
          </w:tcPr>
          <w:p w14:paraId="7BDCB159" w14:textId="6BA06C15" w:rsidR="00574CFD" w:rsidRPr="00BF2EA9" w:rsidRDefault="00574CFD" w:rsidP="00BF2EA9">
            <w:pPr>
              <w:jc w:val="center"/>
              <w:rPr>
                <w:b/>
                <w:bCs/>
              </w:rPr>
            </w:pPr>
            <w:r w:rsidRPr="00BF2EA9">
              <w:rPr>
                <w:b/>
                <w:bCs/>
              </w:rPr>
              <w:t>3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26A0AF57" w14:textId="77777777" w:rsidR="00C15C91" w:rsidRDefault="00C15C91" w:rsidP="004A1885"/>
          <w:p w14:paraId="448FCBAA" w14:textId="7D7370F9" w:rsidR="00DB14F1" w:rsidRDefault="00DB14F1" w:rsidP="004A1885">
            <w:r>
              <w:t xml:space="preserve">Service limit max has been reached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8516F1" w14:textId="6487AAA0" w:rsidR="00DB14F1" w:rsidRDefault="00DB14F1" w:rsidP="00BF2EA9">
            <w:r w:rsidRPr="000472CE">
              <w:t xml:space="preserve">Use the prior authorization process for </w:t>
            </w:r>
            <w:r w:rsidR="004A1885">
              <w:t>IHBT</w:t>
            </w:r>
            <w:r w:rsidR="00BC41D0">
              <w:t xml:space="preserve"> (</w:t>
            </w:r>
            <w:r w:rsidR="00054BC7">
              <w:t>including MST</w:t>
            </w:r>
            <w:r w:rsidR="00BC41D0">
              <w:t>),</w:t>
            </w:r>
            <w:r w:rsidR="004A1885">
              <w:t xml:space="preserve"> </w:t>
            </w:r>
            <w:r w:rsidRPr="000472CE">
              <w:t>ACT</w:t>
            </w:r>
            <w:r w:rsidRPr="000C017A">
              <w:t>.</w:t>
            </w:r>
            <w:r w:rsidRPr="000472CE">
              <w:t xml:space="preserve"> Additional assessments or other </w:t>
            </w:r>
            <w:r w:rsidR="005F5081">
              <w:t xml:space="preserve">programs </w:t>
            </w:r>
            <w:r w:rsidRPr="000472CE">
              <w:t>not listed are not considered for payment.</w:t>
            </w:r>
          </w:p>
        </w:tc>
      </w:tr>
      <w:tr w:rsidR="00DB14F1" w14:paraId="5A84D802" w14:textId="77777777" w:rsidTr="00BF2EA9">
        <w:trPr>
          <w:trHeight w:val="629"/>
        </w:trPr>
        <w:tc>
          <w:tcPr>
            <w:tcW w:w="990" w:type="dxa"/>
            <w:shd w:val="clear" w:color="auto" w:fill="BDD6EE" w:themeFill="accent5" w:themeFillTint="66"/>
            <w:vAlign w:val="center"/>
          </w:tcPr>
          <w:p w14:paraId="4A146FB5" w14:textId="045F42AA" w:rsidR="00DB14F1" w:rsidRPr="00BF2EA9" w:rsidRDefault="00574CFD" w:rsidP="00BF2EA9">
            <w:pPr>
              <w:jc w:val="center"/>
              <w:rPr>
                <w:b/>
                <w:bCs/>
              </w:rPr>
            </w:pPr>
            <w:r w:rsidRPr="00BF2EA9">
              <w:rPr>
                <w:b/>
                <w:bCs/>
              </w:rPr>
              <w:t>4</w:t>
            </w:r>
          </w:p>
        </w:tc>
        <w:tc>
          <w:tcPr>
            <w:tcW w:w="4050" w:type="dxa"/>
            <w:shd w:val="clear" w:color="auto" w:fill="DEEAF6" w:themeFill="accent5" w:themeFillTint="33"/>
            <w:vAlign w:val="center"/>
          </w:tcPr>
          <w:p w14:paraId="492619A9" w14:textId="62D78BA2" w:rsidR="00DB14F1" w:rsidRDefault="00DB14F1" w:rsidP="00BF2EA9">
            <w:r>
              <w:t>Deductible has not yet been met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5B34C59" w14:textId="4A3141A7" w:rsidR="00DB14F1" w:rsidRDefault="00574CFD" w:rsidP="00BF2EA9">
            <w:r>
              <w:t>StarkMHAR</w:t>
            </w:r>
            <w:r w:rsidR="00DB14F1">
              <w:t xml:space="preserve"> will address on a case-by-case basis through the hardship funds process.</w:t>
            </w:r>
          </w:p>
        </w:tc>
      </w:tr>
      <w:tr w:rsidR="00DB14F1" w14:paraId="3BA5187F" w14:textId="77777777" w:rsidTr="00BF2EA9">
        <w:trPr>
          <w:trHeight w:val="620"/>
        </w:trPr>
        <w:tc>
          <w:tcPr>
            <w:tcW w:w="990" w:type="dxa"/>
            <w:shd w:val="clear" w:color="auto" w:fill="BDD6EE" w:themeFill="accent5" w:themeFillTint="66"/>
            <w:vAlign w:val="center"/>
          </w:tcPr>
          <w:p w14:paraId="55C27F7F" w14:textId="558D2FED" w:rsidR="00DB14F1" w:rsidRPr="00BF2EA9" w:rsidRDefault="00574CFD" w:rsidP="00BF2EA9">
            <w:pPr>
              <w:jc w:val="center"/>
              <w:rPr>
                <w:b/>
                <w:bCs/>
              </w:rPr>
            </w:pPr>
            <w:r w:rsidRPr="00BF2EA9">
              <w:rPr>
                <w:b/>
                <w:bCs/>
              </w:rPr>
              <w:t>5</w:t>
            </w:r>
          </w:p>
        </w:tc>
        <w:tc>
          <w:tcPr>
            <w:tcW w:w="4050" w:type="dxa"/>
            <w:shd w:val="clear" w:color="auto" w:fill="DEEAF6" w:themeFill="accent5" w:themeFillTint="33"/>
            <w:vAlign w:val="center"/>
          </w:tcPr>
          <w:p w14:paraId="355FB139" w14:textId="7846F8C4" w:rsidR="00DB14F1" w:rsidRDefault="00DB14F1" w:rsidP="00BF2EA9">
            <w:r>
              <w:t>Level of care or medical necessity has not been met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1EB226" w14:textId="31A98E79" w:rsidR="00DB14F1" w:rsidRDefault="00574CFD" w:rsidP="00BF2EA9">
            <w:r>
              <w:t>StarkMHAR</w:t>
            </w:r>
            <w:r w:rsidR="00DB14F1">
              <w:t xml:space="preserve"> may not be billed for these services.</w:t>
            </w:r>
          </w:p>
        </w:tc>
      </w:tr>
      <w:tr w:rsidR="00DB14F1" w14:paraId="025950F3" w14:textId="77777777" w:rsidTr="00BF2EA9">
        <w:trPr>
          <w:trHeight w:val="1430"/>
        </w:trPr>
        <w:tc>
          <w:tcPr>
            <w:tcW w:w="990" w:type="dxa"/>
            <w:shd w:val="clear" w:color="auto" w:fill="BDD6EE" w:themeFill="accent5" w:themeFillTint="66"/>
            <w:vAlign w:val="center"/>
          </w:tcPr>
          <w:p w14:paraId="0D73106D" w14:textId="26CA3BB9" w:rsidR="00574CFD" w:rsidRPr="00BF2EA9" w:rsidRDefault="00574CFD" w:rsidP="00BF2EA9">
            <w:pPr>
              <w:jc w:val="center"/>
              <w:rPr>
                <w:b/>
                <w:bCs/>
              </w:rPr>
            </w:pPr>
            <w:r w:rsidRPr="00BF2EA9">
              <w:rPr>
                <w:b/>
                <w:bCs/>
              </w:rPr>
              <w:t>6</w:t>
            </w:r>
          </w:p>
        </w:tc>
        <w:tc>
          <w:tcPr>
            <w:tcW w:w="4050" w:type="dxa"/>
            <w:shd w:val="clear" w:color="auto" w:fill="DEEAF6" w:themeFill="accent5" w:themeFillTint="33"/>
            <w:vAlign w:val="center"/>
          </w:tcPr>
          <w:p w14:paraId="47A99EEC" w14:textId="41E8DFB9" w:rsidR="00DB14F1" w:rsidRDefault="00DB14F1" w:rsidP="00BF2EA9">
            <w:r>
              <w:t>Prior authorization is required or has expired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14294F5" w14:textId="502DD3DF" w:rsidR="00DB14F1" w:rsidRDefault="00DB14F1" w:rsidP="00BF2EA9">
            <w:r>
              <w:t>If a prior authorization is required to be obtained for third party coverage, StarkMHAR may not be billed for these services. If a prior authorization expires and additional days are needed, StarkMHAR may not be billed for the additional days.</w:t>
            </w:r>
          </w:p>
        </w:tc>
      </w:tr>
      <w:tr w:rsidR="00DB14F1" w14:paraId="0EBC7048" w14:textId="77777777" w:rsidTr="00BF2EA9">
        <w:trPr>
          <w:trHeight w:val="620"/>
        </w:trPr>
        <w:tc>
          <w:tcPr>
            <w:tcW w:w="990" w:type="dxa"/>
            <w:shd w:val="clear" w:color="auto" w:fill="BDD6EE" w:themeFill="accent5" w:themeFillTint="66"/>
            <w:vAlign w:val="center"/>
          </w:tcPr>
          <w:p w14:paraId="2B0484FE" w14:textId="3761F622" w:rsidR="00DB14F1" w:rsidRPr="00BF2EA9" w:rsidRDefault="00574CFD" w:rsidP="00BF2EA9">
            <w:pPr>
              <w:jc w:val="center"/>
              <w:rPr>
                <w:b/>
                <w:bCs/>
              </w:rPr>
            </w:pPr>
            <w:r w:rsidRPr="00BF2EA9">
              <w:rPr>
                <w:b/>
                <w:bCs/>
              </w:rPr>
              <w:t>7</w:t>
            </w:r>
          </w:p>
        </w:tc>
        <w:tc>
          <w:tcPr>
            <w:tcW w:w="4050" w:type="dxa"/>
            <w:shd w:val="clear" w:color="auto" w:fill="DEEAF6" w:themeFill="accent5" w:themeFillTint="33"/>
            <w:vAlign w:val="center"/>
          </w:tcPr>
          <w:p w14:paraId="37833ADE" w14:textId="3489F18D" w:rsidR="00DB14F1" w:rsidRDefault="00DB14F1" w:rsidP="00BF2EA9">
            <w:r>
              <w:t>Services are out-of-network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0762028" w14:textId="2BA6F20A" w:rsidR="00DB14F1" w:rsidRDefault="00DB14F1" w:rsidP="00BF2EA9">
            <w:r>
              <w:t xml:space="preserve">StarkMHAR may not be billed for </w:t>
            </w:r>
            <w:r w:rsidR="00367733">
              <w:t xml:space="preserve">an out-of-network </w:t>
            </w:r>
            <w:r w:rsidR="00BF2EA9">
              <w:t>service unless</w:t>
            </w:r>
            <w:r w:rsidR="00367733">
              <w:t xml:space="preserve"> it is a crisis intervention service.</w:t>
            </w:r>
            <w:r>
              <w:t xml:space="preserve"> </w:t>
            </w:r>
          </w:p>
        </w:tc>
      </w:tr>
      <w:tr w:rsidR="00DB14F1" w14:paraId="2400F7A2" w14:textId="77777777" w:rsidTr="00BF2EA9">
        <w:trPr>
          <w:trHeight w:val="467"/>
        </w:trPr>
        <w:tc>
          <w:tcPr>
            <w:tcW w:w="990" w:type="dxa"/>
            <w:shd w:val="clear" w:color="auto" w:fill="BDD6EE" w:themeFill="accent5" w:themeFillTint="66"/>
            <w:vAlign w:val="center"/>
          </w:tcPr>
          <w:p w14:paraId="15878B9A" w14:textId="442C4C98" w:rsidR="00DB14F1" w:rsidRPr="00BF2EA9" w:rsidRDefault="00574CFD" w:rsidP="00BF2EA9">
            <w:pPr>
              <w:jc w:val="center"/>
              <w:rPr>
                <w:b/>
                <w:bCs/>
              </w:rPr>
            </w:pPr>
            <w:r w:rsidRPr="00BF2EA9">
              <w:rPr>
                <w:b/>
                <w:bCs/>
              </w:rPr>
              <w:t>8</w:t>
            </w:r>
          </w:p>
        </w:tc>
        <w:tc>
          <w:tcPr>
            <w:tcW w:w="4050" w:type="dxa"/>
            <w:shd w:val="clear" w:color="auto" w:fill="DEEAF6" w:themeFill="accent5" w:themeFillTint="33"/>
            <w:vAlign w:val="center"/>
          </w:tcPr>
          <w:p w14:paraId="6E2C3426" w14:textId="1F803BEC" w:rsidR="00DB14F1" w:rsidRDefault="00DB14F1" w:rsidP="00BF2EA9">
            <w:r>
              <w:t>Other insurance is primary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0D98646" w14:textId="08E37A72" w:rsidR="00DB14F1" w:rsidRDefault="00DB14F1" w:rsidP="00BF2EA9">
            <w:r>
              <w:t>Other payer source will be billed first, as stated above.</w:t>
            </w:r>
          </w:p>
        </w:tc>
      </w:tr>
      <w:tr w:rsidR="00DB14F1" w14:paraId="11EE390C" w14:textId="77777777" w:rsidTr="00BF2EA9">
        <w:trPr>
          <w:trHeight w:val="458"/>
        </w:trPr>
        <w:tc>
          <w:tcPr>
            <w:tcW w:w="990" w:type="dxa"/>
            <w:shd w:val="clear" w:color="auto" w:fill="BDD6EE" w:themeFill="accent5" w:themeFillTint="66"/>
            <w:vAlign w:val="center"/>
          </w:tcPr>
          <w:p w14:paraId="47CE8B7A" w14:textId="0FC50AE7" w:rsidR="00DB14F1" w:rsidRPr="00BF2EA9" w:rsidRDefault="00574CFD" w:rsidP="00BF2EA9">
            <w:pPr>
              <w:jc w:val="center"/>
              <w:rPr>
                <w:b/>
                <w:bCs/>
              </w:rPr>
            </w:pPr>
            <w:r w:rsidRPr="00BF2EA9">
              <w:rPr>
                <w:b/>
                <w:bCs/>
              </w:rPr>
              <w:t>9</w:t>
            </w:r>
          </w:p>
        </w:tc>
        <w:tc>
          <w:tcPr>
            <w:tcW w:w="4050" w:type="dxa"/>
            <w:shd w:val="clear" w:color="auto" w:fill="DEEAF6" w:themeFill="accent5" w:themeFillTint="33"/>
            <w:vAlign w:val="center"/>
          </w:tcPr>
          <w:p w14:paraId="5428D146" w14:textId="76F8F4A6" w:rsidR="00DB14F1" w:rsidRDefault="00DB14F1" w:rsidP="00BF2EA9">
            <w:r>
              <w:t>Provider is not qualified to provide service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CF158F3" w14:textId="19DD27C8" w:rsidR="00DB14F1" w:rsidRDefault="00DB14F1" w:rsidP="00BF2EA9">
            <w:r>
              <w:t>StarkMHAR may not be billed for these services.</w:t>
            </w:r>
          </w:p>
        </w:tc>
      </w:tr>
    </w:tbl>
    <w:p w14:paraId="79EFD734" w14:textId="77777777" w:rsidR="007851FF" w:rsidRDefault="007851FF" w:rsidP="00D22923">
      <w:pPr>
        <w:rPr>
          <w:b/>
          <w:bCs/>
          <w:sz w:val="20"/>
        </w:rPr>
      </w:pPr>
    </w:p>
    <w:p w14:paraId="69E4D133" w14:textId="6DE9FF6E" w:rsidR="007C7AAF" w:rsidRDefault="00D22923" w:rsidP="00BF2EA9">
      <w:pPr>
        <w:rPr>
          <w:sz w:val="20"/>
        </w:rPr>
      </w:pPr>
      <w:r w:rsidRPr="00767F11">
        <w:rPr>
          <w:b/>
          <w:bCs/>
          <w:sz w:val="20"/>
        </w:rPr>
        <w:t>Retroactive Prior Authorizations:</w:t>
      </w:r>
      <w:r w:rsidRPr="00767F11">
        <w:rPr>
          <w:sz w:val="20"/>
        </w:rPr>
        <w:t xml:space="preserve"> </w:t>
      </w:r>
      <w:r w:rsidR="00614767" w:rsidRPr="00767F11">
        <w:rPr>
          <w:sz w:val="20"/>
        </w:rPr>
        <w:t xml:space="preserve">Providers may submit Prior Authorizations retroactively up to 30 days after the start of services. </w:t>
      </w:r>
      <w:r w:rsidR="00BF2EA9" w:rsidRPr="00767F11">
        <w:rPr>
          <w:sz w:val="20"/>
        </w:rPr>
        <w:t>The limit</w:t>
      </w:r>
      <w:r w:rsidR="00614767" w:rsidRPr="00767F11">
        <w:rPr>
          <w:sz w:val="20"/>
        </w:rPr>
        <w:t xml:space="preserve"> is set at 30 days due to requirements for claims submissions, per </w:t>
      </w:r>
      <w:r w:rsidR="00614767" w:rsidRPr="00673D19">
        <w:rPr>
          <w:sz w:val="20"/>
        </w:rPr>
        <w:t>SFY2</w:t>
      </w:r>
      <w:r w:rsidR="00663AEE">
        <w:rPr>
          <w:sz w:val="20"/>
        </w:rPr>
        <w:t>5</w:t>
      </w:r>
      <w:r w:rsidR="00614767" w:rsidRPr="00673D19">
        <w:rPr>
          <w:sz w:val="20"/>
        </w:rPr>
        <w:t xml:space="preserve"> Provider Contract 11.3.14</w:t>
      </w:r>
      <w:r w:rsidR="006A0364">
        <w:rPr>
          <w:sz w:val="20"/>
        </w:rPr>
        <w:t>, and to align with Medicaid limits</w:t>
      </w:r>
      <w:r w:rsidR="00614767" w:rsidRPr="00767F11">
        <w:rPr>
          <w:sz w:val="20"/>
        </w:rPr>
        <w:t xml:space="preserve">. </w:t>
      </w:r>
      <w:proofErr w:type="gramStart"/>
      <w:r w:rsidR="00614767" w:rsidRPr="00767F11">
        <w:rPr>
          <w:sz w:val="20"/>
        </w:rPr>
        <w:t>Provider</w:t>
      </w:r>
      <w:proofErr w:type="gramEnd"/>
      <w:r w:rsidR="00614767" w:rsidRPr="00767F11">
        <w:rPr>
          <w:sz w:val="20"/>
        </w:rPr>
        <w:t xml:space="preserve"> must submit PA paperwork and documentation as described in Prior Authorization Instructions.</w:t>
      </w:r>
      <w:r w:rsidR="00BF07F1">
        <w:rPr>
          <w:sz w:val="20"/>
        </w:rPr>
        <w:tab/>
      </w:r>
    </w:p>
    <w:p w14:paraId="62BDE60C" w14:textId="77777777" w:rsidR="00663AEE" w:rsidRPr="00663AEE" w:rsidRDefault="00663AEE" w:rsidP="00663AEE">
      <w:pPr>
        <w:rPr>
          <w:sz w:val="20"/>
        </w:rPr>
      </w:pPr>
    </w:p>
    <w:p w14:paraId="744DA805" w14:textId="77777777" w:rsidR="00663AEE" w:rsidRPr="00663AEE" w:rsidRDefault="00663AEE" w:rsidP="00663AEE">
      <w:pPr>
        <w:ind w:firstLine="720"/>
        <w:rPr>
          <w:sz w:val="20"/>
        </w:rPr>
      </w:pPr>
    </w:p>
    <w:sectPr w:rsidR="00663AEE" w:rsidRPr="00663AEE" w:rsidSect="004814D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AF2BD" w14:textId="77777777" w:rsidR="007E4805" w:rsidRDefault="007E4805" w:rsidP="004814D0">
      <w:pPr>
        <w:spacing w:after="0" w:line="240" w:lineRule="auto"/>
      </w:pPr>
      <w:r>
        <w:separator/>
      </w:r>
    </w:p>
  </w:endnote>
  <w:endnote w:type="continuationSeparator" w:id="0">
    <w:p w14:paraId="00BC49D1" w14:textId="77777777" w:rsidR="007E4805" w:rsidRDefault="007E4805" w:rsidP="0048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051AD" w14:textId="638AFE58" w:rsidR="002A0973" w:rsidRPr="00BF07F1" w:rsidRDefault="00AC1D11" w:rsidP="00AC1D11">
    <w:pPr>
      <w:pStyle w:val="Footer"/>
      <w:tabs>
        <w:tab w:val="left" w:pos="210"/>
      </w:tabs>
      <w:rPr>
        <w:sz w:val="14"/>
        <w:szCs w:val="14"/>
      </w:rPr>
    </w:pPr>
    <w:r>
      <w:rPr>
        <w:sz w:val="14"/>
        <w:szCs w:val="14"/>
      </w:rPr>
      <w:tab/>
    </w:r>
    <w:r w:rsidR="00D54B6B">
      <w:rPr>
        <w:sz w:val="14"/>
        <w:szCs w:val="14"/>
      </w:rPr>
      <w:t>202</w:t>
    </w:r>
    <w:r w:rsidR="00663AEE">
      <w:rPr>
        <w:sz w:val="14"/>
        <w:szCs w:val="14"/>
      </w:rPr>
      <w:t>40528</w:t>
    </w:r>
    <w:r w:rsidR="00D54B6B">
      <w:rPr>
        <w:sz w:val="14"/>
        <w:szCs w:val="14"/>
      </w:rPr>
      <w:t xml:space="preserve"> </w:t>
    </w:r>
    <w:r>
      <w:rPr>
        <w:sz w:val="14"/>
        <w:szCs w:val="14"/>
      </w:rPr>
      <w:t xml:space="preserve">– </w:t>
    </w:r>
    <w:r w:rsidR="00D54B6B">
      <w:rPr>
        <w:sz w:val="14"/>
        <w:szCs w:val="14"/>
      </w:rPr>
      <w:t>SFY2</w:t>
    </w:r>
    <w:r w:rsidR="00663AEE">
      <w:rPr>
        <w:sz w:val="14"/>
        <w:szCs w:val="14"/>
      </w:rPr>
      <w:t>5</w:t>
    </w:r>
    <w:r w:rsidR="00D54B6B">
      <w:rPr>
        <w:sz w:val="14"/>
        <w:szCs w:val="14"/>
      </w:rPr>
      <w:t xml:space="preserve"> </w:t>
    </w:r>
    <w:r w:rsidR="00574CFD" w:rsidRPr="00BF07F1">
      <w:rPr>
        <w:sz w:val="14"/>
        <w:szCs w:val="14"/>
      </w:rPr>
      <w:t>Coverage of Benefits – PA attachment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AAD7B" w14:textId="77777777" w:rsidR="007E4805" w:rsidRDefault="007E4805" w:rsidP="004814D0">
      <w:pPr>
        <w:spacing w:after="0" w:line="240" w:lineRule="auto"/>
      </w:pPr>
      <w:r>
        <w:separator/>
      </w:r>
    </w:p>
  </w:footnote>
  <w:footnote w:type="continuationSeparator" w:id="0">
    <w:p w14:paraId="3936CC7A" w14:textId="77777777" w:rsidR="007E4805" w:rsidRDefault="007E4805" w:rsidP="0048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FA6C7" w14:textId="6E0B6E0C" w:rsidR="004814D0" w:rsidRPr="004814D0" w:rsidRDefault="00BF2EA9" w:rsidP="004814D0">
    <w:pPr>
      <w:spacing w:after="0" w:line="240" w:lineRule="auto"/>
      <w:jc w:val="center"/>
      <w:rPr>
        <w:b/>
        <w:bCs/>
        <w:sz w:val="24"/>
        <w:szCs w:val="24"/>
      </w:rPr>
    </w:pPr>
    <w:r w:rsidRPr="00ED460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C5F74BB" wp14:editId="64A30644">
          <wp:simplePos x="0" y="0"/>
          <wp:positionH relativeFrom="margin">
            <wp:align>right</wp:align>
          </wp:positionH>
          <wp:positionV relativeFrom="paragraph">
            <wp:posOffset>-253365</wp:posOffset>
          </wp:positionV>
          <wp:extent cx="1405890" cy="436245"/>
          <wp:effectExtent l="0" t="0" r="3810" b="1905"/>
          <wp:wrapSquare wrapText="bothSides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4814D0" w:rsidRPr="004814D0">
      <w:rPr>
        <w:b/>
        <w:bCs/>
        <w:sz w:val="24"/>
        <w:szCs w:val="24"/>
      </w:rPr>
      <w:t xml:space="preserve">StarkMHAR </w:t>
    </w:r>
    <w:r w:rsidR="004814D0">
      <w:rPr>
        <w:b/>
        <w:bCs/>
        <w:sz w:val="24"/>
        <w:szCs w:val="24"/>
      </w:rPr>
      <w:t>Coverage of Benefits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E6DED"/>
    <w:multiLevelType w:val="hybridMultilevel"/>
    <w:tmpl w:val="D514D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62DDA"/>
    <w:multiLevelType w:val="hybridMultilevel"/>
    <w:tmpl w:val="D31C8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A766E"/>
    <w:multiLevelType w:val="hybridMultilevel"/>
    <w:tmpl w:val="545E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866"/>
    <w:multiLevelType w:val="hybridMultilevel"/>
    <w:tmpl w:val="4392C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8006">
    <w:abstractNumId w:val="0"/>
  </w:num>
  <w:num w:numId="2" w16cid:durableId="1571116151">
    <w:abstractNumId w:val="2"/>
  </w:num>
  <w:num w:numId="3" w16cid:durableId="221598880">
    <w:abstractNumId w:val="1"/>
  </w:num>
  <w:num w:numId="4" w16cid:durableId="678048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DbdwX/xhzEkGG4xD+W1ixkuq/fUJvVclTSSu+T4pt0sV+p4cplege2KOVALaKb4BvleZRnRh4sd5Km5oC01lQ==" w:salt="gIb295algUaAuQ1rOgySWA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9B"/>
    <w:rsid w:val="00006D7E"/>
    <w:rsid w:val="000472CE"/>
    <w:rsid w:val="00054BC7"/>
    <w:rsid w:val="000C017A"/>
    <w:rsid w:val="000C4DA0"/>
    <w:rsid w:val="000E7521"/>
    <w:rsid w:val="00143FD8"/>
    <w:rsid w:val="001733BB"/>
    <w:rsid w:val="00176EC8"/>
    <w:rsid w:val="00193AF6"/>
    <w:rsid w:val="001C6F4A"/>
    <w:rsid w:val="00202FEC"/>
    <w:rsid w:val="002923AD"/>
    <w:rsid w:val="002A0973"/>
    <w:rsid w:val="002B48B8"/>
    <w:rsid w:val="002E660A"/>
    <w:rsid w:val="003247A0"/>
    <w:rsid w:val="00367733"/>
    <w:rsid w:val="00377CCF"/>
    <w:rsid w:val="003829B9"/>
    <w:rsid w:val="0039029F"/>
    <w:rsid w:val="003E1B63"/>
    <w:rsid w:val="003E6E70"/>
    <w:rsid w:val="0041644F"/>
    <w:rsid w:val="004814D0"/>
    <w:rsid w:val="004A1885"/>
    <w:rsid w:val="004A5B18"/>
    <w:rsid w:val="004B1222"/>
    <w:rsid w:val="00560D41"/>
    <w:rsid w:val="00574CFD"/>
    <w:rsid w:val="00592A72"/>
    <w:rsid w:val="00597514"/>
    <w:rsid w:val="005A05B3"/>
    <w:rsid w:val="005C4840"/>
    <w:rsid w:val="005F5081"/>
    <w:rsid w:val="00614767"/>
    <w:rsid w:val="006229AD"/>
    <w:rsid w:val="0063706F"/>
    <w:rsid w:val="00663AEE"/>
    <w:rsid w:val="006720BE"/>
    <w:rsid w:val="00673D19"/>
    <w:rsid w:val="006A0364"/>
    <w:rsid w:val="006D5721"/>
    <w:rsid w:val="006E31D5"/>
    <w:rsid w:val="00740E95"/>
    <w:rsid w:val="007525DC"/>
    <w:rsid w:val="00756EE9"/>
    <w:rsid w:val="00767F11"/>
    <w:rsid w:val="007851FF"/>
    <w:rsid w:val="00793199"/>
    <w:rsid w:val="00793578"/>
    <w:rsid w:val="007B59D1"/>
    <w:rsid w:val="007C7AAF"/>
    <w:rsid w:val="007E4805"/>
    <w:rsid w:val="007F3B9F"/>
    <w:rsid w:val="00807091"/>
    <w:rsid w:val="008516B0"/>
    <w:rsid w:val="00863A28"/>
    <w:rsid w:val="00870F1F"/>
    <w:rsid w:val="008A1464"/>
    <w:rsid w:val="0093450D"/>
    <w:rsid w:val="009426F1"/>
    <w:rsid w:val="009821AE"/>
    <w:rsid w:val="00985BAB"/>
    <w:rsid w:val="009B3295"/>
    <w:rsid w:val="009C5004"/>
    <w:rsid w:val="00A12120"/>
    <w:rsid w:val="00A31AAD"/>
    <w:rsid w:val="00A453CA"/>
    <w:rsid w:val="00A474BB"/>
    <w:rsid w:val="00A57303"/>
    <w:rsid w:val="00A62699"/>
    <w:rsid w:val="00A800FA"/>
    <w:rsid w:val="00A83EFB"/>
    <w:rsid w:val="00A903B1"/>
    <w:rsid w:val="00AB5CC6"/>
    <w:rsid w:val="00AC1D11"/>
    <w:rsid w:val="00B05372"/>
    <w:rsid w:val="00B11FFD"/>
    <w:rsid w:val="00B13DE4"/>
    <w:rsid w:val="00B23865"/>
    <w:rsid w:val="00BB652C"/>
    <w:rsid w:val="00BC249B"/>
    <w:rsid w:val="00BC41D0"/>
    <w:rsid w:val="00BF07F1"/>
    <w:rsid w:val="00BF2EA9"/>
    <w:rsid w:val="00C15C91"/>
    <w:rsid w:val="00C7227C"/>
    <w:rsid w:val="00C729F1"/>
    <w:rsid w:val="00CC477A"/>
    <w:rsid w:val="00CE3DA3"/>
    <w:rsid w:val="00D22923"/>
    <w:rsid w:val="00D54B6B"/>
    <w:rsid w:val="00D86868"/>
    <w:rsid w:val="00D87B3E"/>
    <w:rsid w:val="00DB14F1"/>
    <w:rsid w:val="00DF2AB3"/>
    <w:rsid w:val="00E200CB"/>
    <w:rsid w:val="00E20896"/>
    <w:rsid w:val="00E21DF2"/>
    <w:rsid w:val="00E36040"/>
    <w:rsid w:val="00E36800"/>
    <w:rsid w:val="00E460F1"/>
    <w:rsid w:val="00E52960"/>
    <w:rsid w:val="00E96334"/>
    <w:rsid w:val="00EB716D"/>
    <w:rsid w:val="00EF5C22"/>
    <w:rsid w:val="00F13A98"/>
    <w:rsid w:val="00FB5900"/>
    <w:rsid w:val="00FC7CEE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A16C1E4"/>
  <w15:docId w15:val="{DCFA49A9-875F-4CE3-B44E-9DA7986F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0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0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4D0"/>
  </w:style>
  <w:style w:type="paragraph" w:styleId="Footer">
    <w:name w:val="footer"/>
    <w:basedOn w:val="Normal"/>
    <w:link w:val="FooterChar"/>
    <w:uiPriority w:val="99"/>
    <w:unhideWhenUsed/>
    <w:rsid w:val="00481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4D0"/>
  </w:style>
  <w:style w:type="paragraph" w:styleId="ListParagraph">
    <w:name w:val="List Paragraph"/>
    <w:basedOn w:val="Normal"/>
    <w:uiPriority w:val="34"/>
    <w:qFormat/>
    <w:rsid w:val="00E2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C9FC-D471-499B-A429-8975640E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2171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Kutcher</dc:creator>
  <cp:keywords/>
  <dc:description/>
  <cp:lastModifiedBy>Katie Jacoby</cp:lastModifiedBy>
  <cp:revision>6</cp:revision>
  <dcterms:created xsi:type="dcterms:W3CDTF">2022-06-30T12:34:00Z</dcterms:created>
  <dcterms:modified xsi:type="dcterms:W3CDTF">2024-05-28T18:11:00Z</dcterms:modified>
</cp:coreProperties>
</file>